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根据贵方“宿州职业技术学院2025年《新能源汽车电力电子实训》、《新能源汽车故障诊断技术》课程实训耗材采购项目</w:t>
      </w:r>
      <w:r>
        <w:rPr>
          <w:rFonts w:hint="eastAsia" w:ascii="方正仿宋_GBK"/>
          <w:b w:val="0"/>
          <w:bCs w:val="0"/>
          <w:szCs w:val="32"/>
        </w:rPr>
        <w:t>的询价公告</w:t>
      </w:r>
      <w:r>
        <w:rPr>
          <w:rFonts w:hint="eastAsia" w:ascii="方正仿宋_GBK" w:hAnsi="方正仿宋_GBK" w:cs="方正仿宋_GBK"/>
          <w:szCs w:val="32"/>
        </w:rPr>
        <w:t>”，正</w:t>
      </w:r>
      <w:bookmarkStart w:id="12" w:name="_GoBack"/>
      <w:bookmarkEnd w:id="12"/>
      <w:r>
        <w:rPr>
          <w:rFonts w:hint="eastAsia" w:ascii="方正仿宋_GBK" w:hAnsi="方正仿宋_GBK" w:cs="方正仿宋_GBK"/>
          <w:szCs w:val="32"/>
        </w:rPr>
        <w:t>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9489"/>
      <w:bookmarkStart w:id="2" w:name="_Toc10510"/>
      <w:bookmarkStart w:id="3" w:name="_Toc29779"/>
      <w:bookmarkStart w:id="4" w:name="_Toc12176"/>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15366"/>
      <w:bookmarkStart w:id="8" w:name="_Toc6620"/>
      <w:bookmarkStart w:id="9" w:name="_Toc17550"/>
      <w:bookmarkStart w:id="10" w:name="_Toc392"/>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2BA118-9EDC-4F7C-9390-FCB54267238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0A4E24-C4E3-4413-81F5-ACE05C64580A}"/>
  </w:font>
  <w:font w:name="方正仿宋_GBK">
    <w:panose1 w:val="02000000000000000000"/>
    <w:charset w:val="86"/>
    <w:family w:val="auto"/>
    <w:pitch w:val="default"/>
    <w:sig w:usb0="A00002BF" w:usb1="38CF7CFA" w:usb2="00082016" w:usb3="00000000" w:csb0="00040001" w:csb1="00000000"/>
    <w:embedRegular r:id="rId3" w:fontKey="{F4EC780D-6EEA-49B3-A8F1-8434A5F331FE}"/>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852936F1-2C2B-4E4D-80BA-3B614FD0CFCC}"/>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57003198-95A2-4F4F-AC00-BFF0144B8D06}"/>
  </w:font>
  <w:font w:name="Trebuchet MS">
    <w:panose1 w:val="020B0603020202020204"/>
    <w:charset w:val="00"/>
    <w:family w:val="swiss"/>
    <w:pitch w:val="default"/>
    <w:sig w:usb0="00000687" w:usb1="00000000" w:usb2="00000000" w:usb3="00000000" w:csb0="2000009F" w:csb1="00000000"/>
    <w:embedRegular r:id="rId6" w:fontKey="{8805550F-C090-4B65-8859-DB759A6A19DA}"/>
  </w:font>
  <w:font w:name="仿宋_GB2312">
    <w:altName w:val="仿宋"/>
    <w:panose1 w:val="02010609030101010101"/>
    <w:charset w:val="86"/>
    <w:family w:val="modern"/>
    <w:pitch w:val="default"/>
    <w:sig w:usb0="00000000" w:usb1="00000000" w:usb2="00000000" w:usb3="00000000" w:csb0="00040000" w:csb1="00000000"/>
    <w:embedRegular r:id="rId7" w:fontKey="{3725304A-2AF2-4F6E-9EC8-DB0948F781B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9DC6CB5"/>
    <w:rsid w:val="3B8E2FEE"/>
    <w:rsid w:val="3BFD11F8"/>
    <w:rsid w:val="3DE8358B"/>
    <w:rsid w:val="40834B6A"/>
    <w:rsid w:val="42162288"/>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787</Words>
  <Characters>791</Characters>
  <Lines>3</Lines>
  <Paragraphs>1</Paragraphs>
  <TotalTime>0</TotalTime>
  <ScaleCrop>false</ScaleCrop>
  <LinksUpToDate>false</LinksUpToDate>
  <CharactersWithSpaces>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2025-05-20T03:04:50Z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11E7D34A86744E088AF0368B74828459_11</vt:lpwstr>
  </property>
  <property fmtid="{D5CDD505-2E9C-101B-9397-08002B2CF9AE}" pid="4" name="KSOTemplateDocerSaveRecord">
    <vt:lpwstr>eyJoZGlkIjoiNmZhODA3M2MwZTZkMDhmYmI1OGYxYzIzYzE0NjI3NDciLCJ1c2VySWQiOiIyNTM3NTcyOTUifQ==</vt:lpwstr>
  </property>
</Properties>
</file>